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CC3300" w:sz="12" w:space="3"/>
          <w:right w:val="none" w:color="auto" w:sz="0" w:space="0"/>
        </w:pBdr>
        <w:spacing w:before="90" w:beforeAutospacing="0" w:after="90" w:afterAutospacing="0" w:line="390" w:lineRule="atLeast"/>
        <w:ind w:left="0" w:right="0"/>
        <w:jc w:val="center"/>
        <w:textAlignment w:val="center"/>
        <w:rPr>
          <w:rFonts w:ascii="微软雅黑" w:hAnsi="微软雅黑" w:eastAsia="微软雅黑" w:cs="微软雅黑"/>
          <w:color w:val="282828"/>
          <w:sz w:val="27"/>
          <w:szCs w:val="27"/>
        </w:rPr>
      </w:pPr>
      <w:r>
        <w:rPr>
          <w:rFonts w:hint="eastAsia" w:ascii="微软雅黑" w:hAnsi="微软雅黑" w:eastAsia="微软雅黑" w:cs="微软雅黑"/>
          <w:i w:val="0"/>
          <w:caps w:val="0"/>
          <w:color w:val="282828"/>
          <w:spacing w:val="0"/>
          <w:sz w:val="27"/>
          <w:szCs w:val="27"/>
          <w:bdr w:val="none" w:color="auto" w:sz="0" w:space="0"/>
          <w:shd w:val="clear" w:fill="FFFFFF"/>
        </w:rPr>
        <w:t>中纪委明确重点整治形式主义、官僚主义的四个方面12类突出问题</w:t>
      </w:r>
    </w:p>
    <w:p>
      <w:pPr>
        <w:pStyle w:val="4"/>
        <w:keepNext w:val="0"/>
        <w:keepLines w:val="0"/>
        <w:widowControl/>
        <w:suppressLineNumbers w:val="0"/>
        <w:pBdr>
          <w:top w:val="single" w:color="D0D0D0" w:sz="6" w:space="7"/>
          <w:left w:val="none" w:color="auto" w:sz="0" w:space="0"/>
          <w:bottom w:val="single" w:color="D0D0D0" w:sz="6" w:space="7"/>
          <w:right w:val="none" w:color="auto" w:sz="0" w:space="0"/>
        </w:pBdr>
        <w:spacing w:before="0" w:beforeAutospacing="0" w:after="150" w:afterAutospacing="0" w:line="15" w:lineRule="atLeast"/>
        <w:ind w:left="0" w:right="0"/>
        <w:jc w:val="center"/>
        <w:textAlignment w:val="center"/>
        <w:rPr>
          <w:rFonts w:ascii="Tahoma" w:hAnsi="Tahoma" w:eastAsia="Tahoma" w:cs="Tahoma"/>
          <w:b w:val="0"/>
          <w:i w:val="0"/>
          <w:color w:val="333333"/>
          <w:sz w:val="18"/>
          <w:szCs w:val="18"/>
        </w:rPr>
      </w:pPr>
      <w:r>
        <w:rPr>
          <w:rFonts w:hint="default" w:ascii="Tahoma" w:hAnsi="Tahoma" w:eastAsia="Tahoma" w:cs="Tahoma"/>
          <w:b w:val="0"/>
          <w:i w:val="0"/>
          <w:caps w:val="0"/>
          <w:color w:val="787878"/>
          <w:spacing w:val="0"/>
          <w:sz w:val="18"/>
          <w:szCs w:val="18"/>
          <w:bdr w:val="none" w:color="auto" w:sz="0" w:space="0"/>
          <w:shd w:val="clear" w:fill="FFFFFF"/>
        </w:rPr>
        <w:t>发布者：郭燕龙发布时间：2019-02-25浏览次数：2636</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center"/>
        <w:rPr>
          <w:rFonts w:hint="default" w:ascii="Tahoma" w:hAnsi="Tahoma" w:eastAsia="Tahoma" w:cs="Tahoma"/>
          <w:b w:val="0"/>
          <w:i w:val="0"/>
          <w:color w:val="333333"/>
          <w:sz w:val="21"/>
          <w:szCs w:val="21"/>
        </w:rPr>
      </w:pPr>
      <w:r>
        <w:rPr>
          <w:rFonts w:hint="default" w:ascii="Tahoma" w:hAnsi="Tahoma" w:eastAsia="Tahoma" w:cs="Tahoma"/>
          <w:b w:val="0"/>
          <w:i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中央纪委办公厅于2018年9月印发了《关于贯彻落实习近平总书记重要指示精神集中整治形式主义、官僚主义的工作意见》，全面启动集中整治形式主义、官僚主义工作，把坚决维护习近平总书记核心地位、维护党中央权威和集中统一领导作为首要政治责任，聚焦习近平总书记重要讲话和批示中指出的形式主义、官僚主义突出问题，聚焦影响党的路线方针政策和中央重大决策部署贯彻落实的突出问题，聚焦群众反映强烈、损害群众利益的突出问题，大力推进集中整治工作。《工作意见》明确了重点整治的四个方面12类突出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一）在贯彻落实党的路线方针政策、中央重大决策部署方面，重点整治严重影响党中央权威和集中统一领导、影响中央政令畅通的形式主义、官僚主义的突出问题。特别是贯彻落实党的十九大精神，落实新发展理念，打好防范化解重大风险、精准脱贫、污染防治三大攻坚战，以及思想政治、宣传舆论和食品药品安全等工作和领域中发生的形式主义、官僚主义问题。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1.对中央精神只做面上轰轰烈烈的传达，口号式、机械式的传达，不加消化、囫囵吞枣的传达，上下一般粗的传达；在工作中空喊口号，表态多调门高、行动少落实差，热衷于作秀造势；单纯以会议贯彻会议、以文件落实文件，做表面文章、过度留痕，缺乏实际行动和具体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2.地方和部门利益至上，贯彻执行中央决策部署打折扣、做选择、搞变通，说一套做一套。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3．缺乏正确的政绩观，急功近利、脱离实际，搞华而不实、劳民伤财的“政绩工程”“形象工程”。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（二）在联系群众、服务群众方面，重点整治群众身边特别是群众反映强烈的形式主义、官僚主义突出问题。包括：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4.漠视群众利益和疾苦，对群众反映强烈的问题无动于衷、消极应付，对群众合理诉求推诿扯皮、冷硬横推，对群众态度简单粗暴、颐指气使；搞特殊、耍特权，在群众中造成恶劣影响和强烈不满。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5.便民服务单位和政务服务窗口态度差、办事效率低，政务服务热线、政府网站、政务APP运行“僵尸化”。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6.“新官不理旧事”，言而无信，重招商轻落地、轻服务，影响营商环境。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（三）在履职尽责、服务经济社会发展方面，重点整治不担当、不作为、慢作为、乱作为、假作为等严重影响改革发展高质量的突出问题。包括：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7.不顾实际情况、不经科学论证，违反规定程序乱决策、 乱拍板、乱作为。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8.不担当、不作为、不负责，回避问题和矛盾，上推下卸责任；慵懒怠政，消极应付，失察失职。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9.弄虚作假，编造假经验、假典型、假数据，瞒报、谎报情况，隐藏、遮掩问题。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（四）在学风会风文风及检查调研方面，重点整治频次过多过滥、浮于表面等突出问题。包括：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10.学风漂浮，理论脱离实际，只为应付场面、应景交差，不尚实干、不求实效；开会不研究真实情况、不解决实际问题，为开会而开会；超计划、超时间、超规模、超预算开会，就同一事项重复开会；文件照抄照转，超篇幅、超范围发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11.检查考核过多过滥，多部门重复考核同一事项，考核内容不务实，频次多、表格多、材料多，给基层造成严重负担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hint="default" w:ascii="Tahoma" w:hAnsi="Tahoma" w:eastAsia="Tahoma" w:cs="Tahoma"/>
          <w:b w:val="0"/>
          <w:i w:val="0"/>
          <w:color w:val="333333"/>
          <w:sz w:val="21"/>
          <w:szCs w:val="21"/>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12.调查研究搞形式、走过场、不深入，打造“经典调研线路”，搞走秀式调研，搞层层陪同、超人数陪同；对调查情况不做深入分析研究，以偏概全，提出意见建议好高骛远，可操作性不强，调研成果不管用。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560"/>
        <w:jc w:val="both"/>
        <w:textAlignment w:val="center"/>
        <w:rPr>
          <w:rFonts w:ascii="微软雅黑" w:hAnsi="微软雅黑" w:eastAsia="微软雅黑" w:cs="微软雅黑"/>
          <w:b w:val="0"/>
          <w:i w:val="0"/>
          <w:caps w:val="0"/>
          <w:color w:val="FFFFFF"/>
          <w:spacing w:val="0"/>
          <w:sz w:val="29"/>
          <w:szCs w:val="29"/>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各地区各部门各单位必须强化精准思维，既要整治带有共性的形式主义、官僚主义问题，也要精准发现和整治具有本层级、行业、部门和地方特点的突出问题，创造性地开展工作，提高针对性和实效性。中央和国家机关要带好头，以上率下，发挥“头雁效应”。</w:t>
      </w:r>
      <w:r>
        <w:rPr>
          <w:rFonts w:hint="eastAsia" w:ascii="微软雅黑" w:hAnsi="微软雅黑" w:eastAsia="微软雅黑" w:cs="微软雅黑"/>
          <w:b w:val="0"/>
          <w:i w:val="0"/>
          <w:caps w:val="0"/>
          <w:color w:val="FFFFFF"/>
          <w:spacing w:val="0"/>
          <w:kern w:val="0"/>
          <w:sz w:val="29"/>
          <w:szCs w:val="29"/>
          <w:bdr w:val="none" w:color="auto" w:sz="0" w:space="0"/>
          <w:lang w:val="en-US" w:eastAsia="zh-CN" w:bidi="ar"/>
        </w:rPr>
        <w:t>版权所属©2018中共南京晓庄学院纪委办、监察室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DD3F9F"/>
    <w:rsid w:val="23DD3F9F"/>
    <w:rsid w:val="328D0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2019-09-11T07:57:00Z</dcterms:created>
  <dc:creator>平安树</dc:creator>
  <cp:lastModifiedBy>平安树</cp:lastModifiedBy>
  <dcterms:modified xsi:type="dcterms:W3CDTF">2019-09-11T08:05:38Z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